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both"/>
        <w:rPr>
          <w:rFonts w:ascii="Times New Roman" w:cs="Times New Roman" w:eastAsia="Times New Roman" w:hAnsi="Times New Roman"/>
          <w:sz w:val="44"/>
          <w:szCs w:val="44"/>
        </w:rPr>
      </w:pPr>
      <w:bookmarkStart w:colFirst="0" w:colLast="0" w:name="_uubumlf2op4b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 xml:space="preserve">Jak połączyć biznes i pasję do pomagania – wielki projekt CSR, który zmienia postawy społeczne i… zarabia etycznie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tgk1ttzb3qeu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Krajowy rynek inwestycji ekologicznych przeżywa jeden z najlepszych okresów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prosperity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w historii. Trendy z Zachodu dynamicznie wkraczają nad Wisłę, a już wkrótce — mapa stołecznych atrakcji przywita kolejny punkt, który wykorzystuje najbardziej sprawdzone prawidła świadomego biznesu. Nie brak jednak innowacji, a te z dnia na dzień napędzają zainteresowanie zarówno potencjalnych inwestorów, jak i przyszłych klientów. Czy nadszedł czas etycznych inwestycji w typowo warszawskim wydaniu?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vq8tb5b3k33m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Polskie ulice coraz bardziej zielone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Wkraczanie zielonych inwestycji na krajowy rynek nie jest zjawiskiem nowym, choć impet ruchu obserwuje się właśnie na przestrzeni ostatnich kilku lat. Według raportów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Polish Green Building Council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Polska już w 2019 roku była liderem Europy Środkowo-Wschodniej w kategorii rozwoju ekoarchitektury. Aż 51 proc. obiektów, które spełniają regionalne warunki klasyfikacji, jako projekty wpisujące się w ideę zrównoważonego rozwoju, znajdują się właśnie nad Wisłą. Według tych samych wyliczeń krajowe ekoinwestycje łącznie stanowią ekwiwalent aż 13 871 550 metrów kwadratowych powierzchni użytkowej. Już wkrótce — do tego grona dołączy blisko 10 tys. kolejnych pod hasłem “Implant”.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To była nasza wewnętrzna potrzeba. Każdy z nas odniósł już swoje pierwsze sukcesy zawodowe, jesteśmy zupełnie z różniących się od siebie branży i bardzo się od siebie różnimy jako ludzie, ale łączy nas jedno — chcielibyśmy zrobić coś, co ma znacznie. Geneza projektu kiełkowała w naszych głowach, każdy myślał o projekcie w inny sposób, ale udało się nam wypracować jedną spójną wizję — opowiada o początkach nowej ekoinwestycji Zbigniew Bagiński, CMO Implantu.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Subtitle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5yqlh9c2ygd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Implant, czyli CSR w służbie (nie tylko) millenialsom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Twórcy ekoinwestycji na styku trzech stołecznych dzielnic — Woli, Ochoty i Śródmieścia — podkreślają, iż grupą docelową projektu są osoby młode, którym nie jest obojętny los planety. Z drugiej strony, estetyka obiektu może również zachęcić starsze pokolenia do świadomej konsumpcji oraz popularyzacji zielonej architektury, ponieważ według raportu analityków z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U.S. Green Building Council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decyzje inwestorów segmentu w 34 proc. są motywowane właśnie przesłankami ze strony samych klientów (w tym — klientów 40+). Ponadto, oferta Implantu może być interpretowana bardzo szeroko, ponieważ obiekt (utrzymany w stylistyce zrecyklingowanego kontenera) zmieści m.in. show-roomy, studio tatuażu, bar z kraftowym piwem, warsztat stolarski, a otoczony będzie motywami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stricte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eko, w tym: parkingiem z wydzielonymi miejscami dla hybryd i pojazdów elektrycznych oraz panelami fotowoltaicznymi.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Ekologia była zupełnie czymś naturalnym — ona zmienia jakość życia w stolicy i działa na zmysły. W 2015 roku, gdy zaczynaliśmy projekt, to nie było jeszcze takie oczywiste, jednak teraz doszło do znaczącej zmiany światopoglądowej. Ekologia dla nas to nie zdobywanie zielonych orderów — to edukacja społeczna poprzez przykład. Innymi składowymi naszej filozofii jest kultura oraz sztuka ulicy, które uwrażliwiają, otwierają świadomość na otaczający nas świat i jego interpretację. To właśnie kultura, warsztaty, spotkania i koncerty będą spoiwem naszej społeczności. Wokół tego budujemy biznes, który realnie zmienia świat — podkreśla Zbigniew Bagiński z zespołu Implantu.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Subtitle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pctmgdk3zyrb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Walka z CO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i etyczny biznes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Inwestycja przy ulicy Chmielnej 75 to także wyjście naprzeciw rekordowo wysokiej emisji dwutlenku węgla budynków usługowych. Jak podają autorzy ONZ-owskiego opracowania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2020 Global Status Report for Buildings and Construction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wskaźnik udziału infrastruktury miejskiej w globalnym pogłębianiu śladu węglowego oscyluje w okolicach 38 proc. Dlatego też szacowana na nawet 28 mln zł inwestycja zespołu Implantu przewiduje oprócz wcześniej wspomnianych paneli PV, zasilanie oparte na pompach ciepła, design na farbach tytanowych, a za nawadnianie kompleksu odpowiadać będzie zbiornik retencyjny. Co więcej, dochód z każdego biletu parkingowego będzie przeznaczany na poczet programu sadzenia drzew, co jeszcze bardziej przyczyni się do redukcji CO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Kiedy możemy się spodziewać inauguracji działań obiektu?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Pierwotnie realnym terminem otwarcia była wiosna 2020 roku. Wcześniejsze daty spotkały się z równie dużym zainteresowaniem, choć plany pokrzyżowała nam pandemia koronawirusa. W skali regionu projekt jest prekursorski, co spowodowało jeszcze wiele zmian i adaptacji na poziomie budowy, a sam covid i jego następstwa, przedłużyły kolejne etapy prac. Obecnie otwarcie planowane jest na przełomie 2. i 3. kwartału tego roku — wyjaśnia Zbigniew Bagiński.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Wkład w starania o bezemisyjną przestrzeń miejską, łącznie ekologii z urbanistyką, etyczny biznes realizujący najnowsze trendy branżowe. Tak można w dużym skrócie opisać postulaty, które firmuje zespół Implantu. Czy założenia inwestorów spotkają się z oczekiwanym zainteresowaniem? Jeśli wszystkie hasła zapowiadane przez twórców znajdą swoje przełożenie w efektach prac — Warszawa już wkrótce zyska bezprecedensowy punkt, który jest w stanie wywindować trend ekoarchitektury poza granice samej stolicy.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